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645BB2" w14:textId="77777777" w:rsidR="00C1688C" w:rsidRPr="00762774" w:rsidRDefault="007C11FC" w:rsidP="00762774">
      <w:pPr>
        <w:spacing w:line="480" w:lineRule="auto"/>
        <w:ind w:left="-288"/>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Name</w:t>
      </w:r>
    </w:p>
    <w:p w14:paraId="4F1E9581" w14:textId="77777777" w:rsidR="00C1688C" w:rsidRPr="00762774" w:rsidRDefault="007C11FC" w:rsidP="00762774">
      <w:pPr>
        <w:spacing w:line="480" w:lineRule="auto"/>
        <w:ind w:left="-288"/>
        <w:rPr>
          <w:rFonts w:ascii="Times New Roman" w:eastAsia="Times New Roman" w:hAnsi="Times New Roman" w:cs="Times New Roman"/>
          <w:color w:val="333333"/>
          <w:sz w:val="24"/>
          <w:szCs w:val="24"/>
        </w:rPr>
      </w:pPr>
      <w:r w:rsidRPr="00762774">
        <w:rPr>
          <w:rFonts w:ascii="Times New Roman" w:eastAsia="Times New Roman" w:hAnsi="Times New Roman" w:cs="Times New Roman"/>
          <w:color w:val="333333"/>
          <w:sz w:val="24"/>
          <w:szCs w:val="24"/>
        </w:rPr>
        <w:t>Professor’s Name:</w:t>
      </w:r>
    </w:p>
    <w:p w14:paraId="635A4789" w14:textId="77777777" w:rsidR="00C1688C" w:rsidRPr="00762774" w:rsidRDefault="007C11FC" w:rsidP="00762774">
      <w:pPr>
        <w:spacing w:line="480" w:lineRule="auto"/>
        <w:ind w:left="-288"/>
        <w:rPr>
          <w:rFonts w:ascii="Times New Roman" w:eastAsia="Times New Roman" w:hAnsi="Times New Roman" w:cs="Times New Roman"/>
          <w:color w:val="333333"/>
          <w:sz w:val="24"/>
          <w:szCs w:val="24"/>
        </w:rPr>
      </w:pPr>
      <w:r w:rsidRPr="00762774">
        <w:rPr>
          <w:rFonts w:ascii="Times New Roman" w:eastAsia="Times New Roman" w:hAnsi="Times New Roman" w:cs="Times New Roman"/>
          <w:color w:val="333333"/>
          <w:sz w:val="24"/>
          <w:szCs w:val="24"/>
        </w:rPr>
        <w:t>Course Name:</w:t>
      </w:r>
    </w:p>
    <w:p w14:paraId="0BE5EF20" w14:textId="10C8E6C9" w:rsidR="00C1688C" w:rsidRPr="00762774" w:rsidRDefault="007C11FC" w:rsidP="006805B5">
      <w:pPr>
        <w:spacing w:line="480" w:lineRule="auto"/>
        <w:ind w:left="-288"/>
        <w:rPr>
          <w:rFonts w:ascii="Times New Roman" w:eastAsia="Times New Roman" w:hAnsi="Times New Roman" w:cs="Times New Roman"/>
          <w:color w:val="333333"/>
          <w:sz w:val="24"/>
          <w:szCs w:val="24"/>
        </w:rPr>
      </w:pPr>
      <w:r w:rsidRPr="00762774">
        <w:rPr>
          <w:rFonts w:ascii="Times New Roman" w:eastAsia="Times New Roman" w:hAnsi="Times New Roman" w:cs="Times New Roman"/>
          <w:color w:val="333333"/>
          <w:sz w:val="24"/>
          <w:szCs w:val="24"/>
        </w:rPr>
        <w:t>Date of Submission:</w:t>
      </w:r>
    </w:p>
    <w:p w14:paraId="0F134404" w14:textId="77777777" w:rsidR="003516ED" w:rsidRPr="007A3B94" w:rsidRDefault="007C11FC" w:rsidP="00762774">
      <w:pPr>
        <w:spacing w:line="480" w:lineRule="auto"/>
        <w:ind w:left="-288"/>
        <w:jc w:val="center"/>
        <w:rPr>
          <w:rFonts w:ascii="Times New Roman" w:hAnsi="Times New Roman" w:cs="Times New Roman"/>
          <w:b/>
          <w:sz w:val="24"/>
          <w:szCs w:val="24"/>
        </w:rPr>
      </w:pPr>
      <w:r>
        <w:rPr>
          <w:rFonts w:ascii="Times New Roman" w:hAnsi="Times New Roman" w:cs="Times New Roman"/>
          <w:b/>
          <w:sz w:val="24"/>
          <w:szCs w:val="24"/>
        </w:rPr>
        <w:t>Health Care System</w:t>
      </w:r>
    </w:p>
    <w:p w14:paraId="7125196E" w14:textId="19A249F4" w:rsidR="007A3B94" w:rsidRDefault="007C11FC" w:rsidP="008A1A77">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health care sector has seen prudent innovations geared towards ensuring efficiency in access to quality and affordable health care services. Such innovations are such as the Accountable Care Organizations (ACOs). The Accountable Care Organizations promote </w:t>
      </w:r>
      <w:r w:rsidR="00855C0C">
        <w:rPr>
          <w:rFonts w:ascii="Times New Roman" w:eastAsia="Times New Roman" w:hAnsi="Times New Roman" w:cs="Times New Roman"/>
          <w:color w:val="333333"/>
          <w:sz w:val="24"/>
          <w:szCs w:val="24"/>
        </w:rPr>
        <w:t>higher care</w:t>
      </w:r>
      <w:r>
        <w:rPr>
          <w:rFonts w:ascii="Times New Roman" w:eastAsia="Times New Roman" w:hAnsi="Times New Roman" w:cs="Times New Roman"/>
          <w:color w:val="333333"/>
          <w:sz w:val="24"/>
          <w:szCs w:val="24"/>
        </w:rPr>
        <w:t xml:space="preserve"> quality at lower costs while shifting risk to providers, thus establishing it as a staple of </w:t>
      </w:r>
      <w:r w:rsidR="00FA1D68">
        <w:rPr>
          <w:rFonts w:ascii="Times New Roman" w:eastAsia="Times New Roman" w:hAnsi="Times New Roman" w:cs="Times New Roman"/>
          <w:color w:val="333333"/>
          <w:sz w:val="24"/>
          <w:szCs w:val="24"/>
        </w:rPr>
        <w:t>quality-based</w:t>
      </w:r>
      <w:r>
        <w:rPr>
          <w:rFonts w:ascii="Times New Roman" w:eastAsia="Times New Roman" w:hAnsi="Times New Roman" w:cs="Times New Roman"/>
          <w:color w:val="333333"/>
          <w:sz w:val="24"/>
          <w:szCs w:val="24"/>
        </w:rPr>
        <w:t xml:space="preserve"> care</w:t>
      </w:r>
      <w:r w:rsidR="00855C0C">
        <w:rPr>
          <w:rFonts w:ascii="Times New Roman" w:eastAsia="Times New Roman" w:hAnsi="Times New Roman" w:cs="Times New Roman"/>
          <w:color w:val="333333"/>
          <w:sz w:val="24"/>
          <w:szCs w:val="24"/>
        </w:rPr>
        <w:t>. Accountable Care Organizations are a group of hospitals, physicians, and other health-related providers who agree to coordinate care for patients and deliver the right quality care at the right time. ACOs, while undertaking this, they avoid unnecessary utilization of services and medical errors, thus play a vital role in quality delivery.</w:t>
      </w:r>
      <w:r w:rsidR="00E4369B">
        <w:rPr>
          <w:rFonts w:ascii="Times New Roman" w:eastAsia="Times New Roman" w:hAnsi="Times New Roman" w:cs="Times New Roman"/>
          <w:color w:val="333333"/>
          <w:sz w:val="24"/>
          <w:szCs w:val="24"/>
        </w:rPr>
        <w:t xml:space="preserve"> The ACOs participants take responsibility for the total cost of care for their patients; some models reduce care costs for their patients by sharing the savings with the players</w:t>
      </w:r>
      <w:r w:rsidR="00FA1D68">
        <w:rPr>
          <w:rFonts w:ascii="Times New Roman" w:eastAsia="Times New Roman" w:hAnsi="Times New Roman" w:cs="Times New Roman"/>
          <w:color w:val="333333"/>
          <w:sz w:val="24"/>
          <w:szCs w:val="24"/>
        </w:rPr>
        <w:t xml:space="preserve"> </w:t>
      </w:r>
      <w:r w:rsidR="00FA1D68" w:rsidRPr="006805B5">
        <w:rPr>
          <w:rFonts w:ascii="Times New Roman" w:eastAsia="Times New Roman" w:hAnsi="Times New Roman" w:cs="Times New Roman"/>
          <w:color w:val="333333"/>
          <w:sz w:val="24"/>
          <w:szCs w:val="24"/>
        </w:rPr>
        <w:t>(</w:t>
      </w:r>
      <w:proofErr w:type="spellStart"/>
      <w:r w:rsidR="00FA1D68" w:rsidRPr="006805B5">
        <w:rPr>
          <w:rFonts w:ascii="Times New Roman" w:eastAsia="Times New Roman" w:hAnsi="Times New Roman" w:cs="Times New Roman"/>
          <w:color w:val="333333"/>
          <w:sz w:val="24"/>
          <w:szCs w:val="24"/>
        </w:rPr>
        <w:t>Flieger</w:t>
      </w:r>
      <w:proofErr w:type="spellEnd"/>
      <w:r w:rsidR="00FA1D68" w:rsidRPr="006805B5">
        <w:rPr>
          <w:rFonts w:ascii="Times New Roman" w:eastAsia="Times New Roman" w:hAnsi="Times New Roman" w:cs="Times New Roman"/>
          <w:color w:val="333333"/>
          <w:sz w:val="24"/>
          <w:szCs w:val="24"/>
        </w:rPr>
        <w:t> </w:t>
      </w:r>
      <w:r w:rsidR="006805B5" w:rsidRPr="006805B5">
        <w:rPr>
          <w:rFonts w:ascii="Times New Roman" w:eastAsia="Times New Roman" w:hAnsi="Times New Roman" w:cs="Times New Roman"/>
          <w:color w:val="333333"/>
          <w:sz w:val="24"/>
          <w:szCs w:val="24"/>
        </w:rPr>
        <w:t>12</w:t>
      </w:r>
      <w:r w:rsidR="00FA1D68" w:rsidRPr="006805B5">
        <w:rPr>
          <w:rFonts w:ascii="Times New Roman" w:eastAsia="Times New Roman" w:hAnsi="Times New Roman" w:cs="Times New Roman"/>
          <w:color w:val="333333"/>
          <w:sz w:val="24"/>
          <w:szCs w:val="24"/>
        </w:rPr>
        <w:t>)</w:t>
      </w:r>
      <w:r w:rsidR="00E4369B">
        <w:rPr>
          <w:rFonts w:ascii="Times New Roman" w:eastAsia="Times New Roman" w:hAnsi="Times New Roman" w:cs="Times New Roman"/>
          <w:color w:val="333333"/>
          <w:sz w:val="24"/>
          <w:szCs w:val="24"/>
        </w:rPr>
        <w:t xml:space="preserve">. </w:t>
      </w:r>
    </w:p>
    <w:p w14:paraId="374D71D8" w14:textId="3AE3FAF4" w:rsidR="00E4369B" w:rsidRDefault="007C11FC" w:rsidP="008A1A77">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Patient-centered medical Homes is a model of care in which patients engage directly with a chosen</w:t>
      </w:r>
      <w:r w:rsidR="000E07DF">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provider who coordinates a cooperative tea</w:t>
      </w:r>
      <w:r w:rsidR="000E07DF">
        <w:rPr>
          <w:rFonts w:ascii="Times New Roman" w:eastAsia="Times New Roman" w:hAnsi="Times New Roman" w:cs="Times New Roman"/>
          <w:color w:val="333333"/>
          <w:sz w:val="24"/>
          <w:szCs w:val="24"/>
        </w:rPr>
        <w:t xml:space="preserve">m of health care professionals. These professionals take the collective responsibilities for the overall comprehensive, integrated care that the patient receives. They also advocate and arrange appropriate care with other qualified providers and essential community resources. PCMH practices develop transdisciplinary care teams to improve care coordination and patient populations' care management to improve safety, efficiency, and quality in patient care. As a result, PCMH takes advantage of private or public </w:t>
      </w:r>
      <w:r w:rsidR="000E07DF">
        <w:rPr>
          <w:rFonts w:ascii="Times New Roman" w:eastAsia="Times New Roman" w:hAnsi="Times New Roman" w:cs="Times New Roman"/>
          <w:color w:val="333333"/>
          <w:sz w:val="24"/>
          <w:szCs w:val="24"/>
        </w:rPr>
        <w:lastRenderedPageBreak/>
        <w:t>incentive payments that reward patient-centered medical homes when improving care delivery</w:t>
      </w:r>
      <w:r w:rsidR="006805B5">
        <w:rPr>
          <w:rFonts w:ascii="Times New Roman" w:eastAsia="Times New Roman" w:hAnsi="Times New Roman" w:cs="Times New Roman"/>
          <w:color w:val="333333"/>
          <w:sz w:val="24"/>
          <w:szCs w:val="24"/>
        </w:rPr>
        <w:t xml:space="preserve"> </w:t>
      </w:r>
      <w:r w:rsidR="006805B5" w:rsidRPr="006805B5">
        <w:rPr>
          <w:rFonts w:ascii="Times New Roman" w:eastAsia="Times New Roman" w:hAnsi="Times New Roman" w:cs="Times New Roman"/>
          <w:color w:val="333333"/>
          <w:sz w:val="24"/>
          <w:szCs w:val="24"/>
        </w:rPr>
        <w:t xml:space="preserve">(Frandsen and </w:t>
      </w:r>
      <w:proofErr w:type="spellStart"/>
      <w:r w:rsidR="006805B5" w:rsidRPr="006805B5">
        <w:rPr>
          <w:rFonts w:ascii="Times New Roman" w:eastAsia="Times New Roman" w:hAnsi="Times New Roman" w:cs="Times New Roman"/>
          <w:color w:val="333333"/>
          <w:sz w:val="24"/>
          <w:szCs w:val="24"/>
        </w:rPr>
        <w:t>Rebitzer</w:t>
      </w:r>
      <w:proofErr w:type="spellEnd"/>
      <w:r w:rsidR="006805B5" w:rsidRPr="006805B5">
        <w:rPr>
          <w:rFonts w:ascii="Times New Roman" w:eastAsia="Times New Roman" w:hAnsi="Times New Roman" w:cs="Times New Roman"/>
          <w:color w:val="333333"/>
          <w:sz w:val="24"/>
          <w:szCs w:val="24"/>
        </w:rPr>
        <w:t> </w:t>
      </w:r>
      <w:r w:rsidR="006805B5" w:rsidRPr="006805B5">
        <w:rPr>
          <w:rFonts w:ascii="Times New Roman" w:eastAsia="Times New Roman" w:hAnsi="Times New Roman" w:cs="Times New Roman"/>
          <w:color w:val="333333"/>
          <w:sz w:val="24"/>
          <w:szCs w:val="24"/>
        </w:rPr>
        <w:t>18</w:t>
      </w:r>
      <w:r w:rsidR="006805B5" w:rsidRPr="006805B5">
        <w:rPr>
          <w:rFonts w:ascii="Times New Roman" w:eastAsia="Times New Roman" w:hAnsi="Times New Roman" w:cs="Times New Roman"/>
          <w:color w:val="333333"/>
          <w:sz w:val="24"/>
          <w:szCs w:val="24"/>
        </w:rPr>
        <w:t>)</w:t>
      </w:r>
      <w:r w:rsidR="000E07DF">
        <w:rPr>
          <w:rFonts w:ascii="Times New Roman" w:eastAsia="Times New Roman" w:hAnsi="Times New Roman" w:cs="Times New Roman"/>
          <w:color w:val="333333"/>
          <w:sz w:val="24"/>
          <w:szCs w:val="24"/>
        </w:rPr>
        <w:t>.</w:t>
      </w:r>
    </w:p>
    <w:p w14:paraId="31154010" w14:textId="255D4FF3" w:rsidR="00346678" w:rsidRDefault="007C11FC" w:rsidP="008A1A77">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Bundled payments are a single payment for all services related to a specific treatment or condition that spans multiple providers in multiple settings. It has various approaches that create incentives for providers to eliminate unnecessary services and reduce the cost of health care services. These services, bundled payment, PCMH, and ACOs support the state through the Patient Protection and Affordable Care Act (ACA). Additionally, the health care reforms have acknowledged the position of these innovative ways and have given a chance to have as an option. This move in the health care reforms was established to ensure improved quality and efficiency in providing health services through the Medicare systems</w:t>
      </w:r>
      <w:r w:rsidR="006805B5">
        <w:rPr>
          <w:rFonts w:ascii="Times New Roman" w:eastAsia="Times New Roman" w:hAnsi="Times New Roman" w:cs="Times New Roman"/>
          <w:color w:val="333333"/>
          <w:sz w:val="24"/>
          <w:szCs w:val="24"/>
        </w:rPr>
        <w:t xml:space="preserve"> </w:t>
      </w:r>
      <w:r w:rsidR="006805B5" w:rsidRPr="006805B5">
        <w:rPr>
          <w:rFonts w:ascii="Times New Roman" w:eastAsia="Times New Roman" w:hAnsi="Times New Roman" w:cs="Times New Roman"/>
          <w:color w:val="333333"/>
          <w:sz w:val="24"/>
          <w:szCs w:val="24"/>
        </w:rPr>
        <w:t>(Jeanne and William </w:t>
      </w:r>
      <w:r w:rsidR="006805B5" w:rsidRPr="006805B5">
        <w:rPr>
          <w:rFonts w:ascii="Times New Roman" w:eastAsia="Times New Roman" w:hAnsi="Times New Roman" w:cs="Times New Roman"/>
          <w:color w:val="333333"/>
          <w:sz w:val="24"/>
          <w:szCs w:val="24"/>
        </w:rPr>
        <w:t>24</w:t>
      </w:r>
      <w:r w:rsidR="006805B5" w:rsidRPr="006805B5">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w:t>
      </w:r>
    </w:p>
    <w:p w14:paraId="1747826D" w14:textId="760DFB7D" w:rsidR="00346678" w:rsidRDefault="008A1A77" w:rsidP="008A1A77">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These innovative models </w:t>
      </w:r>
      <w:r w:rsidR="00FA1D68">
        <w:rPr>
          <w:rFonts w:ascii="Times New Roman" w:eastAsia="Times New Roman" w:hAnsi="Times New Roman" w:cs="Times New Roman"/>
          <w:color w:val="333333"/>
          <w:sz w:val="24"/>
          <w:szCs w:val="24"/>
        </w:rPr>
        <w:t>lead</w:t>
      </w:r>
      <w:r>
        <w:rPr>
          <w:rFonts w:ascii="Times New Roman" w:eastAsia="Times New Roman" w:hAnsi="Times New Roman" w:cs="Times New Roman"/>
          <w:color w:val="333333"/>
          <w:sz w:val="24"/>
          <w:szCs w:val="24"/>
        </w:rPr>
        <w:t xml:space="preserve"> to</w:t>
      </w:r>
      <w:r w:rsidR="007C11FC">
        <w:rPr>
          <w:rFonts w:ascii="Times New Roman" w:eastAsia="Times New Roman" w:hAnsi="Times New Roman" w:cs="Times New Roman"/>
          <w:color w:val="333333"/>
          <w:sz w:val="24"/>
          <w:szCs w:val="24"/>
        </w:rPr>
        <w:t xml:space="preserve"> </w:t>
      </w:r>
      <w:r w:rsidR="005245C2">
        <w:rPr>
          <w:rFonts w:ascii="Times New Roman" w:eastAsia="Times New Roman" w:hAnsi="Times New Roman" w:cs="Times New Roman"/>
          <w:color w:val="333333"/>
          <w:sz w:val="24"/>
          <w:szCs w:val="24"/>
        </w:rPr>
        <w:t>sustainable</w:t>
      </w:r>
      <w:r w:rsidR="007C11FC">
        <w:rPr>
          <w:rFonts w:ascii="Times New Roman" w:eastAsia="Times New Roman" w:hAnsi="Times New Roman" w:cs="Times New Roman"/>
          <w:color w:val="333333"/>
          <w:sz w:val="24"/>
          <w:szCs w:val="24"/>
        </w:rPr>
        <w:t xml:space="preserve"> </w:t>
      </w:r>
      <w:r w:rsidR="005245C2">
        <w:rPr>
          <w:rFonts w:ascii="Times New Roman" w:eastAsia="Times New Roman" w:hAnsi="Times New Roman" w:cs="Times New Roman"/>
          <w:color w:val="333333"/>
          <w:sz w:val="24"/>
          <w:szCs w:val="24"/>
        </w:rPr>
        <w:t>and efficient delivery of improved and quality health care services. This is achieved since all these models aim to cut unnecessary costs and champion for reduced costs for patient treatments. PCMH, on the other hand, is literally centered toward the delivery of quality care and services in the patient homes while aiming for the state funds and public funds that make it easy to sustain the process of quality delivery. Moreover, the coming together of health care providers such as stakeholders and physicians to pave ways for easier and simple sharing methods for subscribers in the ACOs has made it affordable to access quality health care</w:t>
      </w:r>
      <w:r w:rsidR="006805B5">
        <w:rPr>
          <w:rFonts w:ascii="Times New Roman" w:eastAsia="Times New Roman" w:hAnsi="Times New Roman" w:cs="Times New Roman"/>
          <w:color w:val="333333"/>
          <w:sz w:val="24"/>
          <w:szCs w:val="24"/>
        </w:rPr>
        <w:t xml:space="preserve"> </w:t>
      </w:r>
      <w:r w:rsidR="006805B5" w:rsidRPr="006805B5">
        <w:rPr>
          <w:rFonts w:ascii="Times New Roman" w:eastAsia="Times New Roman" w:hAnsi="Times New Roman" w:cs="Times New Roman"/>
          <w:color w:val="333333"/>
          <w:sz w:val="24"/>
          <w:szCs w:val="24"/>
        </w:rPr>
        <w:t>(Jeanne and William </w:t>
      </w:r>
      <w:r w:rsidR="006805B5" w:rsidRPr="006805B5">
        <w:rPr>
          <w:rFonts w:ascii="Times New Roman" w:eastAsia="Times New Roman" w:hAnsi="Times New Roman" w:cs="Times New Roman"/>
          <w:color w:val="333333"/>
          <w:sz w:val="24"/>
          <w:szCs w:val="24"/>
        </w:rPr>
        <w:t>23</w:t>
      </w:r>
      <w:r w:rsidR="006805B5" w:rsidRPr="006805B5">
        <w:rPr>
          <w:rFonts w:ascii="Times New Roman" w:eastAsia="Times New Roman" w:hAnsi="Times New Roman" w:cs="Times New Roman"/>
          <w:color w:val="333333"/>
          <w:sz w:val="24"/>
          <w:szCs w:val="24"/>
        </w:rPr>
        <w:t>)</w:t>
      </w:r>
      <w:r w:rsidR="005245C2">
        <w:rPr>
          <w:rFonts w:ascii="Times New Roman" w:eastAsia="Times New Roman" w:hAnsi="Times New Roman" w:cs="Times New Roman"/>
          <w:color w:val="333333"/>
          <w:sz w:val="24"/>
          <w:szCs w:val="24"/>
        </w:rPr>
        <w:t>.</w:t>
      </w:r>
    </w:p>
    <w:p w14:paraId="2D63568E" w14:textId="77777777" w:rsidR="005245C2" w:rsidRDefault="005245C2" w:rsidP="00855C0C">
      <w:pPr>
        <w:spacing w:line="480" w:lineRule="auto"/>
        <w:rPr>
          <w:rFonts w:ascii="Times New Roman" w:eastAsia="Times New Roman" w:hAnsi="Times New Roman" w:cs="Times New Roman"/>
          <w:color w:val="333333"/>
          <w:sz w:val="24"/>
          <w:szCs w:val="24"/>
        </w:rPr>
      </w:pPr>
    </w:p>
    <w:p w14:paraId="56FC5FF3" w14:textId="77777777" w:rsidR="005245C2" w:rsidRDefault="005245C2" w:rsidP="00855C0C">
      <w:pPr>
        <w:spacing w:line="480" w:lineRule="auto"/>
        <w:rPr>
          <w:rFonts w:ascii="Times New Roman" w:eastAsia="Times New Roman" w:hAnsi="Times New Roman" w:cs="Times New Roman"/>
          <w:color w:val="333333"/>
          <w:sz w:val="24"/>
          <w:szCs w:val="24"/>
        </w:rPr>
      </w:pPr>
    </w:p>
    <w:p w14:paraId="17045ED0" w14:textId="06F11409" w:rsidR="005245C2" w:rsidRDefault="005245C2" w:rsidP="00855C0C">
      <w:pPr>
        <w:spacing w:line="480" w:lineRule="auto"/>
        <w:rPr>
          <w:rFonts w:ascii="Times New Roman" w:eastAsia="Times New Roman" w:hAnsi="Times New Roman" w:cs="Times New Roman"/>
          <w:b/>
          <w:color w:val="333333"/>
          <w:sz w:val="24"/>
          <w:szCs w:val="24"/>
        </w:rPr>
      </w:pPr>
    </w:p>
    <w:p w14:paraId="699A4F65" w14:textId="77777777" w:rsidR="006805B5" w:rsidRPr="007A3B94" w:rsidRDefault="006805B5" w:rsidP="00855C0C">
      <w:pPr>
        <w:spacing w:line="480" w:lineRule="auto"/>
        <w:rPr>
          <w:rFonts w:ascii="Times New Roman" w:eastAsia="Times New Roman" w:hAnsi="Times New Roman" w:cs="Times New Roman"/>
          <w:color w:val="333333"/>
          <w:sz w:val="24"/>
          <w:szCs w:val="24"/>
        </w:rPr>
      </w:pPr>
    </w:p>
    <w:p w14:paraId="6D0BCF30" w14:textId="77777777" w:rsidR="006805B5" w:rsidRPr="006805B5" w:rsidRDefault="006805B5" w:rsidP="006805B5">
      <w:pPr>
        <w:shd w:val="clear" w:color="auto" w:fill="FFFFFF"/>
        <w:spacing w:after="0" w:line="240" w:lineRule="auto"/>
        <w:jc w:val="center"/>
        <w:rPr>
          <w:rFonts w:ascii="Times New Roman" w:eastAsia="Times New Roman" w:hAnsi="Times New Roman" w:cs="Times New Roman"/>
          <w:b/>
          <w:bCs/>
          <w:color w:val="000000"/>
          <w:sz w:val="24"/>
          <w:szCs w:val="24"/>
        </w:rPr>
      </w:pPr>
      <w:r w:rsidRPr="006805B5">
        <w:rPr>
          <w:rFonts w:ascii="Times New Roman" w:eastAsia="Times New Roman" w:hAnsi="Times New Roman" w:cs="Times New Roman"/>
          <w:b/>
          <w:bCs/>
          <w:color w:val="000000"/>
          <w:sz w:val="24"/>
          <w:szCs w:val="24"/>
        </w:rPr>
        <w:lastRenderedPageBreak/>
        <w:t>Works Cited</w:t>
      </w:r>
    </w:p>
    <w:p w14:paraId="791853B4" w14:textId="77777777" w:rsidR="006805B5" w:rsidRPr="006805B5" w:rsidRDefault="006805B5" w:rsidP="006805B5">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6805B5">
        <w:rPr>
          <w:rFonts w:ascii="Times New Roman" w:eastAsia="Times New Roman" w:hAnsi="Times New Roman" w:cs="Times New Roman"/>
          <w:color w:val="000000"/>
          <w:sz w:val="24"/>
          <w:szCs w:val="24"/>
        </w:rPr>
        <w:t>Flieger</w:t>
      </w:r>
      <w:proofErr w:type="spellEnd"/>
      <w:r w:rsidRPr="006805B5">
        <w:rPr>
          <w:rFonts w:ascii="Times New Roman" w:eastAsia="Times New Roman" w:hAnsi="Times New Roman" w:cs="Times New Roman"/>
          <w:color w:val="000000"/>
          <w:sz w:val="24"/>
          <w:szCs w:val="24"/>
        </w:rPr>
        <w:t>, Signe P. "Implementing the patient-centered medical home in complex adaptive systems." </w:t>
      </w:r>
      <w:r w:rsidRPr="006805B5">
        <w:rPr>
          <w:rFonts w:ascii="Times New Roman" w:eastAsia="Times New Roman" w:hAnsi="Times New Roman" w:cs="Times New Roman"/>
          <w:i/>
          <w:iCs/>
          <w:color w:val="000000"/>
          <w:sz w:val="24"/>
          <w:szCs w:val="24"/>
        </w:rPr>
        <w:t>Health Care Management Review</w:t>
      </w:r>
      <w:r w:rsidRPr="006805B5">
        <w:rPr>
          <w:rFonts w:ascii="Times New Roman" w:eastAsia="Times New Roman" w:hAnsi="Times New Roman" w:cs="Times New Roman"/>
          <w:color w:val="000000"/>
          <w:sz w:val="24"/>
          <w:szCs w:val="24"/>
        </w:rPr>
        <w:t>, vol. 42, no. 2, 2017, pp. 112-121.</w:t>
      </w:r>
    </w:p>
    <w:p w14:paraId="3550168E" w14:textId="77777777" w:rsidR="006805B5" w:rsidRPr="006805B5" w:rsidRDefault="006805B5" w:rsidP="006805B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805B5">
        <w:rPr>
          <w:rFonts w:ascii="Times New Roman" w:eastAsia="Times New Roman" w:hAnsi="Times New Roman" w:cs="Times New Roman"/>
          <w:color w:val="000000"/>
          <w:sz w:val="24"/>
          <w:szCs w:val="24"/>
        </w:rPr>
        <w:t xml:space="preserve">Frandsen, Brigham, and James </w:t>
      </w:r>
      <w:proofErr w:type="spellStart"/>
      <w:r w:rsidRPr="006805B5">
        <w:rPr>
          <w:rFonts w:ascii="Times New Roman" w:eastAsia="Times New Roman" w:hAnsi="Times New Roman" w:cs="Times New Roman"/>
          <w:color w:val="000000"/>
          <w:sz w:val="24"/>
          <w:szCs w:val="24"/>
        </w:rPr>
        <w:t>Rebitzer</w:t>
      </w:r>
      <w:proofErr w:type="spellEnd"/>
      <w:r w:rsidRPr="006805B5">
        <w:rPr>
          <w:rFonts w:ascii="Times New Roman" w:eastAsia="Times New Roman" w:hAnsi="Times New Roman" w:cs="Times New Roman"/>
          <w:color w:val="000000"/>
          <w:sz w:val="24"/>
          <w:szCs w:val="24"/>
        </w:rPr>
        <w:t>. "Structuring Incentives Within Organizations: The Case of Accountable Care Organizations." 2014.</w:t>
      </w:r>
    </w:p>
    <w:p w14:paraId="5C7E0A4B" w14:textId="77777777" w:rsidR="006805B5" w:rsidRPr="006805B5" w:rsidRDefault="006805B5" w:rsidP="006805B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805B5">
        <w:rPr>
          <w:rFonts w:ascii="Times New Roman" w:eastAsia="Times New Roman" w:hAnsi="Times New Roman" w:cs="Times New Roman"/>
          <w:color w:val="000000"/>
          <w:sz w:val="24"/>
          <w:szCs w:val="24"/>
        </w:rPr>
        <w:t xml:space="preserve">Jeanne, Wendel, and </w:t>
      </w:r>
      <w:proofErr w:type="spellStart"/>
      <w:r w:rsidRPr="006805B5">
        <w:rPr>
          <w:rFonts w:ascii="Times New Roman" w:eastAsia="Times New Roman" w:hAnsi="Times New Roman" w:cs="Times New Roman"/>
          <w:color w:val="000000"/>
          <w:sz w:val="24"/>
          <w:szCs w:val="24"/>
        </w:rPr>
        <w:t>O’Donohue</w:t>
      </w:r>
      <w:proofErr w:type="spellEnd"/>
      <w:r w:rsidRPr="006805B5">
        <w:rPr>
          <w:rFonts w:ascii="Times New Roman" w:eastAsia="Times New Roman" w:hAnsi="Times New Roman" w:cs="Times New Roman"/>
          <w:color w:val="000000"/>
          <w:sz w:val="24"/>
          <w:szCs w:val="24"/>
        </w:rPr>
        <w:t xml:space="preserve"> William. "Managed Care Organizations, Accountable Care Organizations, and Patient-Centered Medical Homes." </w:t>
      </w:r>
      <w:r w:rsidRPr="006805B5">
        <w:rPr>
          <w:rFonts w:ascii="Times New Roman" w:eastAsia="Times New Roman" w:hAnsi="Times New Roman" w:cs="Times New Roman"/>
          <w:i/>
          <w:iCs/>
          <w:color w:val="000000"/>
          <w:sz w:val="24"/>
          <w:szCs w:val="24"/>
        </w:rPr>
        <w:t>Understanding Healthcare Economics</w:t>
      </w:r>
      <w:r w:rsidRPr="006805B5">
        <w:rPr>
          <w:rFonts w:ascii="Times New Roman" w:eastAsia="Times New Roman" w:hAnsi="Times New Roman" w:cs="Times New Roman"/>
          <w:color w:val="000000"/>
          <w:sz w:val="24"/>
          <w:szCs w:val="24"/>
        </w:rPr>
        <w:t>, 2017, pp. 139-161.</w:t>
      </w:r>
    </w:p>
    <w:p w14:paraId="1DB60890" w14:textId="77777777" w:rsidR="007A3B94" w:rsidRPr="00542B9F" w:rsidRDefault="007A3B94" w:rsidP="006805B5">
      <w:pPr>
        <w:spacing w:line="480" w:lineRule="auto"/>
        <w:ind w:left="-288"/>
        <w:rPr>
          <w:rFonts w:ascii="Times New Roman" w:eastAsia="Times New Roman" w:hAnsi="Times New Roman" w:cs="Times New Roman"/>
          <w:color w:val="333333"/>
          <w:sz w:val="24"/>
          <w:szCs w:val="24"/>
        </w:rPr>
      </w:pPr>
    </w:p>
    <w:sectPr w:rsidR="007A3B94" w:rsidRPr="00542B9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22296" w14:textId="77777777" w:rsidR="00876BDF" w:rsidRDefault="00876BDF">
      <w:pPr>
        <w:spacing w:after="0" w:line="240" w:lineRule="auto"/>
      </w:pPr>
      <w:r>
        <w:separator/>
      </w:r>
    </w:p>
  </w:endnote>
  <w:endnote w:type="continuationSeparator" w:id="0">
    <w:p w14:paraId="4EBF081A" w14:textId="77777777" w:rsidR="00876BDF" w:rsidRDefault="0087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5145E" w14:textId="77777777" w:rsidR="002C6568" w:rsidRDefault="002C6568">
    <w:pPr>
      <w:pStyle w:val="Footer"/>
      <w:pBdr>
        <w:top w:val="single" w:sz="4" w:space="1" w:color="D9D9D9" w:themeColor="background1" w:themeShade="D9"/>
      </w:pBdr>
      <w:rPr>
        <w:b/>
        <w:bCs/>
      </w:rPr>
    </w:pPr>
  </w:p>
  <w:p w14:paraId="744B321D" w14:textId="77777777" w:rsidR="002C6568" w:rsidRDefault="002C6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941C81" w14:textId="77777777" w:rsidR="00876BDF" w:rsidRDefault="00876BDF">
      <w:pPr>
        <w:spacing w:after="0" w:line="240" w:lineRule="auto"/>
      </w:pPr>
      <w:r>
        <w:separator/>
      </w:r>
    </w:p>
  </w:footnote>
  <w:footnote w:type="continuationSeparator" w:id="0">
    <w:p w14:paraId="2EA0CDC3" w14:textId="77777777" w:rsidR="00876BDF" w:rsidRDefault="00876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5757477"/>
      <w:docPartObj>
        <w:docPartGallery w:val="Page Numbers (Top of Page)"/>
        <w:docPartUnique/>
      </w:docPartObj>
    </w:sdtPr>
    <w:sdtEndPr>
      <w:rPr>
        <w:rFonts w:ascii="Times New Roman" w:hAnsi="Times New Roman" w:cs="Times New Roman"/>
        <w:noProof/>
        <w:sz w:val="24"/>
        <w:szCs w:val="24"/>
      </w:rPr>
    </w:sdtEndPr>
    <w:sdtContent>
      <w:p w14:paraId="1491951C" w14:textId="77777777" w:rsidR="003467BF" w:rsidRPr="00FA1D68" w:rsidRDefault="007C11FC">
        <w:pPr>
          <w:pStyle w:val="Header"/>
          <w:jc w:val="right"/>
          <w:rPr>
            <w:rFonts w:ascii="Times New Roman" w:hAnsi="Times New Roman" w:cs="Times New Roman"/>
            <w:sz w:val="24"/>
            <w:szCs w:val="24"/>
          </w:rPr>
        </w:pPr>
        <w:r w:rsidRPr="00FA1D68">
          <w:rPr>
            <w:rFonts w:ascii="Times New Roman" w:hAnsi="Times New Roman" w:cs="Times New Roman"/>
            <w:sz w:val="24"/>
            <w:szCs w:val="24"/>
          </w:rPr>
          <w:t xml:space="preserve">Surname </w:t>
        </w:r>
        <w:r w:rsidRPr="00FA1D68">
          <w:rPr>
            <w:rFonts w:ascii="Times New Roman" w:hAnsi="Times New Roman" w:cs="Times New Roman"/>
            <w:sz w:val="24"/>
            <w:szCs w:val="24"/>
          </w:rPr>
          <w:fldChar w:fldCharType="begin"/>
        </w:r>
        <w:r w:rsidRPr="00FA1D68">
          <w:rPr>
            <w:rFonts w:ascii="Times New Roman" w:hAnsi="Times New Roman" w:cs="Times New Roman"/>
            <w:sz w:val="24"/>
            <w:szCs w:val="24"/>
          </w:rPr>
          <w:instrText xml:space="preserve"> PAGE   \* MERGEFORMAT </w:instrText>
        </w:r>
        <w:r w:rsidRPr="00FA1D68">
          <w:rPr>
            <w:rFonts w:ascii="Times New Roman" w:hAnsi="Times New Roman" w:cs="Times New Roman"/>
            <w:sz w:val="24"/>
            <w:szCs w:val="24"/>
          </w:rPr>
          <w:fldChar w:fldCharType="separate"/>
        </w:r>
        <w:r w:rsidRPr="00FA1D68">
          <w:rPr>
            <w:rFonts w:ascii="Times New Roman" w:hAnsi="Times New Roman" w:cs="Times New Roman"/>
            <w:noProof/>
            <w:sz w:val="24"/>
            <w:szCs w:val="24"/>
          </w:rPr>
          <w:t>1</w:t>
        </w:r>
        <w:r w:rsidRPr="00FA1D68">
          <w:rPr>
            <w:rFonts w:ascii="Times New Roman" w:hAnsi="Times New Roman" w:cs="Times New Roman"/>
            <w:noProof/>
            <w:sz w:val="24"/>
            <w:szCs w:val="24"/>
          </w:rPr>
          <w:fldChar w:fldCharType="end"/>
        </w:r>
      </w:p>
    </w:sdtContent>
  </w:sdt>
  <w:p w14:paraId="30120899" w14:textId="77777777" w:rsidR="00762774" w:rsidRPr="00762774" w:rsidRDefault="00762774" w:rsidP="00762774">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B1F"/>
    <w:rsid w:val="00085F11"/>
    <w:rsid w:val="00087D69"/>
    <w:rsid w:val="000B64CD"/>
    <w:rsid w:val="000C092F"/>
    <w:rsid w:val="000D7201"/>
    <w:rsid w:val="000E07DF"/>
    <w:rsid w:val="00155D6C"/>
    <w:rsid w:val="00183D5A"/>
    <w:rsid w:val="001C40CD"/>
    <w:rsid w:val="001E379F"/>
    <w:rsid w:val="001F2273"/>
    <w:rsid w:val="001F318E"/>
    <w:rsid w:val="00216C10"/>
    <w:rsid w:val="00230B80"/>
    <w:rsid w:val="00271F35"/>
    <w:rsid w:val="00296CC6"/>
    <w:rsid w:val="002B4724"/>
    <w:rsid w:val="002C6568"/>
    <w:rsid w:val="002D3F8C"/>
    <w:rsid w:val="002F3478"/>
    <w:rsid w:val="00332353"/>
    <w:rsid w:val="00346678"/>
    <w:rsid w:val="003467BF"/>
    <w:rsid w:val="003516ED"/>
    <w:rsid w:val="0039385C"/>
    <w:rsid w:val="003B5D82"/>
    <w:rsid w:val="003C25AE"/>
    <w:rsid w:val="003D42AD"/>
    <w:rsid w:val="0040093B"/>
    <w:rsid w:val="004B15AE"/>
    <w:rsid w:val="004C3296"/>
    <w:rsid w:val="004E7895"/>
    <w:rsid w:val="005245C2"/>
    <w:rsid w:val="00542B9F"/>
    <w:rsid w:val="005C2806"/>
    <w:rsid w:val="005D2F8D"/>
    <w:rsid w:val="00627ACB"/>
    <w:rsid w:val="0065400A"/>
    <w:rsid w:val="0066649B"/>
    <w:rsid w:val="006805B5"/>
    <w:rsid w:val="00710AF9"/>
    <w:rsid w:val="00762774"/>
    <w:rsid w:val="007861A1"/>
    <w:rsid w:val="00795CF4"/>
    <w:rsid w:val="007A3B94"/>
    <w:rsid w:val="007C11FC"/>
    <w:rsid w:val="007D1E43"/>
    <w:rsid w:val="00831537"/>
    <w:rsid w:val="00840B1F"/>
    <w:rsid w:val="00855C0C"/>
    <w:rsid w:val="00862C59"/>
    <w:rsid w:val="00876BDF"/>
    <w:rsid w:val="008A1A77"/>
    <w:rsid w:val="008C77F0"/>
    <w:rsid w:val="008E77FA"/>
    <w:rsid w:val="008F029B"/>
    <w:rsid w:val="00983196"/>
    <w:rsid w:val="009B4046"/>
    <w:rsid w:val="009C1FF0"/>
    <w:rsid w:val="00A81421"/>
    <w:rsid w:val="00AC394D"/>
    <w:rsid w:val="00AC5450"/>
    <w:rsid w:val="00AC5F9C"/>
    <w:rsid w:val="00AF5F13"/>
    <w:rsid w:val="00B34467"/>
    <w:rsid w:val="00BB7248"/>
    <w:rsid w:val="00BC17E2"/>
    <w:rsid w:val="00C10B82"/>
    <w:rsid w:val="00C1688C"/>
    <w:rsid w:val="00C838F3"/>
    <w:rsid w:val="00CA2D7C"/>
    <w:rsid w:val="00CA3EDA"/>
    <w:rsid w:val="00CB191B"/>
    <w:rsid w:val="00CF1B64"/>
    <w:rsid w:val="00D22F78"/>
    <w:rsid w:val="00DB25E4"/>
    <w:rsid w:val="00E15067"/>
    <w:rsid w:val="00E17CCD"/>
    <w:rsid w:val="00E4369B"/>
    <w:rsid w:val="00E70D40"/>
    <w:rsid w:val="00EB6317"/>
    <w:rsid w:val="00F152DE"/>
    <w:rsid w:val="00F35D69"/>
    <w:rsid w:val="00F7142E"/>
    <w:rsid w:val="00FA1D68"/>
    <w:rsid w:val="00FD3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5ECEA"/>
  <w15:chartTrackingRefBased/>
  <w15:docId w15:val="{DAA38427-CC1F-41E1-8364-835398B5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B1F"/>
    <w:rPr>
      <w:color w:val="0000FF"/>
      <w:u w:val="single"/>
    </w:rPr>
  </w:style>
  <w:style w:type="paragraph" w:styleId="Header">
    <w:name w:val="header"/>
    <w:basedOn w:val="Normal"/>
    <w:link w:val="HeaderChar"/>
    <w:uiPriority w:val="99"/>
    <w:unhideWhenUsed/>
    <w:rsid w:val="00795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CF4"/>
  </w:style>
  <w:style w:type="paragraph" w:styleId="Footer">
    <w:name w:val="footer"/>
    <w:basedOn w:val="Normal"/>
    <w:link w:val="FooterChar"/>
    <w:uiPriority w:val="99"/>
    <w:unhideWhenUsed/>
    <w:rsid w:val="00795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CF4"/>
  </w:style>
  <w:style w:type="paragraph" w:styleId="NormalWeb">
    <w:name w:val="Normal (Web)"/>
    <w:basedOn w:val="Normal"/>
    <w:uiPriority w:val="99"/>
    <w:semiHidden/>
    <w:unhideWhenUsed/>
    <w:rsid w:val="003467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67BF"/>
    <w:rPr>
      <w:i/>
      <w:iCs/>
    </w:rPr>
  </w:style>
  <w:style w:type="character" w:customStyle="1" w:styleId="gray">
    <w:name w:val="gray"/>
    <w:basedOn w:val="DefaultParagraphFont"/>
    <w:rsid w:val="00FA1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020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A1CE7C2-73DE-4515-B1E2-C93C4F5DB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dc:creator>
  <cp:lastModifiedBy>Dagra</cp:lastModifiedBy>
  <cp:revision>2</cp:revision>
  <dcterms:created xsi:type="dcterms:W3CDTF">2020-12-01T10:17:00Z</dcterms:created>
  <dcterms:modified xsi:type="dcterms:W3CDTF">2020-12-01T10:17:00Z</dcterms:modified>
</cp:coreProperties>
</file>